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2DE12" w14:textId="6DD5EAFA" w:rsidR="00AD110C" w:rsidRPr="00AD110C" w:rsidRDefault="00AD110C" w:rsidP="00AD110C">
      <w:pPr>
        <w:pStyle w:val="NormalWeb"/>
        <w:spacing w:after="150"/>
        <w:jc w:val="center"/>
        <w:rPr>
          <w:b/>
          <w:color w:val="000000"/>
        </w:rPr>
      </w:pPr>
      <w:r w:rsidRPr="00AD110C">
        <w:rPr>
          <w:b/>
          <w:color w:val="000000"/>
        </w:rPr>
        <w:t>CAIRN HOMES PLC (the ‘Company’)</w:t>
      </w:r>
    </w:p>
    <w:p w14:paraId="40FFE533" w14:textId="2BCD0512" w:rsidR="009A6273" w:rsidRDefault="00AD110C" w:rsidP="00AD110C">
      <w:pPr>
        <w:pStyle w:val="NormalWeb"/>
        <w:spacing w:after="150"/>
        <w:jc w:val="center"/>
        <w:rPr>
          <w:b/>
          <w:color w:val="000000"/>
        </w:rPr>
      </w:pPr>
      <w:r w:rsidRPr="00AD110C">
        <w:rPr>
          <w:b/>
          <w:color w:val="000000"/>
        </w:rPr>
        <w:t>2019 Extraordinary General Meeting Proxy Results</w:t>
      </w:r>
    </w:p>
    <w:p w14:paraId="73484164" w14:textId="77777777" w:rsidR="00AD110C" w:rsidRPr="00AD110C" w:rsidRDefault="00AD110C" w:rsidP="00AD110C">
      <w:pPr>
        <w:pStyle w:val="NormalWeb"/>
        <w:spacing w:after="150"/>
        <w:jc w:val="center"/>
        <w:rPr>
          <w:b/>
          <w:color w:val="000000"/>
        </w:rPr>
      </w:pPr>
    </w:p>
    <w:p w14:paraId="29F73E29" w14:textId="11F8BF5E" w:rsidR="00AD110C" w:rsidRDefault="00AD110C" w:rsidP="00AD110C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Details of </w:t>
      </w:r>
      <w:r>
        <w:rPr>
          <w:color w:val="000000"/>
          <w:shd w:val="clear" w:color="auto" w:fill="FFFFFF"/>
        </w:rPr>
        <w:t>the total votes</w:t>
      </w:r>
      <w:r>
        <w:rPr>
          <w:color w:val="000000"/>
          <w:shd w:val="clear" w:color="auto" w:fill="FFFFFF"/>
        </w:rPr>
        <w:t xml:space="preserve"> on the Resolution put to shareholders at the Extraordinary General Meeting is set out below:</w:t>
      </w:r>
    </w:p>
    <w:p w14:paraId="24CFC0D6" w14:textId="77777777" w:rsidR="00AD110C" w:rsidRDefault="00AD110C" w:rsidP="00D70344">
      <w:pPr>
        <w:pStyle w:val="NormalWeb"/>
        <w:spacing w:after="150"/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417"/>
        <w:gridCol w:w="1560"/>
        <w:gridCol w:w="1275"/>
        <w:gridCol w:w="1134"/>
      </w:tblGrid>
      <w:tr w:rsidR="00FD67F7" w14:paraId="26DFAE90" w14:textId="77777777" w:rsidTr="00AD110C">
        <w:tc>
          <w:tcPr>
            <w:tcW w:w="6799" w:type="dxa"/>
          </w:tcPr>
          <w:p w14:paraId="1DA6EB59" w14:textId="24D4C508" w:rsidR="00FD67F7" w:rsidRPr="00FD67F7" w:rsidRDefault="00FD67F7" w:rsidP="00D70344">
            <w:pPr>
              <w:pStyle w:val="NormalWeb"/>
              <w:spacing w:after="150"/>
              <w:jc w:val="both"/>
              <w:rPr>
                <w:b/>
                <w:color w:val="000000"/>
              </w:rPr>
            </w:pPr>
            <w:r w:rsidRPr="00FD67F7">
              <w:rPr>
                <w:b/>
                <w:color w:val="000000"/>
              </w:rPr>
              <w:t>Resolution</w:t>
            </w:r>
          </w:p>
        </w:tc>
        <w:tc>
          <w:tcPr>
            <w:tcW w:w="1418" w:type="dxa"/>
          </w:tcPr>
          <w:p w14:paraId="279F7A7E" w14:textId="1197937C" w:rsidR="00FD67F7" w:rsidRPr="00FD67F7" w:rsidRDefault="00FD67F7" w:rsidP="00D70344">
            <w:pPr>
              <w:pStyle w:val="NormalWeb"/>
              <w:spacing w:after="150"/>
              <w:jc w:val="both"/>
              <w:rPr>
                <w:b/>
                <w:color w:val="000000"/>
              </w:rPr>
            </w:pPr>
            <w:r w:rsidRPr="00FD67F7">
              <w:rPr>
                <w:b/>
                <w:color w:val="000000"/>
              </w:rPr>
              <w:t>For Number</w:t>
            </w:r>
          </w:p>
        </w:tc>
        <w:tc>
          <w:tcPr>
            <w:tcW w:w="1417" w:type="dxa"/>
          </w:tcPr>
          <w:p w14:paraId="2C2B005A" w14:textId="7F01ABC6" w:rsidR="00FD67F7" w:rsidRPr="00FD67F7" w:rsidRDefault="00FD67F7" w:rsidP="00D70344">
            <w:pPr>
              <w:pStyle w:val="NormalWeb"/>
              <w:spacing w:after="150"/>
              <w:jc w:val="both"/>
              <w:rPr>
                <w:b/>
                <w:color w:val="000000"/>
              </w:rPr>
            </w:pPr>
            <w:r w:rsidRPr="00FD67F7">
              <w:rPr>
                <w:b/>
                <w:color w:val="000000"/>
              </w:rPr>
              <w:t>%</w:t>
            </w:r>
          </w:p>
        </w:tc>
        <w:tc>
          <w:tcPr>
            <w:tcW w:w="1560" w:type="dxa"/>
          </w:tcPr>
          <w:p w14:paraId="08B9489A" w14:textId="7E27BFD0" w:rsidR="00FD67F7" w:rsidRPr="00FD67F7" w:rsidRDefault="00FD67F7" w:rsidP="00D70344">
            <w:pPr>
              <w:pStyle w:val="NormalWeb"/>
              <w:spacing w:after="150"/>
              <w:jc w:val="both"/>
              <w:rPr>
                <w:b/>
                <w:color w:val="000000"/>
              </w:rPr>
            </w:pPr>
            <w:r w:rsidRPr="00FD67F7">
              <w:rPr>
                <w:b/>
                <w:color w:val="000000"/>
              </w:rPr>
              <w:t>Against Number</w:t>
            </w:r>
          </w:p>
        </w:tc>
        <w:tc>
          <w:tcPr>
            <w:tcW w:w="1275" w:type="dxa"/>
          </w:tcPr>
          <w:p w14:paraId="4722EF7F" w14:textId="55F69C8D" w:rsidR="00FD67F7" w:rsidRPr="00FD67F7" w:rsidRDefault="00FD67F7" w:rsidP="00D70344">
            <w:pPr>
              <w:pStyle w:val="NormalWeb"/>
              <w:spacing w:after="150"/>
              <w:jc w:val="both"/>
              <w:rPr>
                <w:b/>
                <w:color w:val="000000"/>
              </w:rPr>
            </w:pPr>
            <w:r w:rsidRPr="00FD67F7">
              <w:rPr>
                <w:b/>
                <w:color w:val="000000"/>
              </w:rPr>
              <w:t>%</w:t>
            </w:r>
          </w:p>
        </w:tc>
        <w:tc>
          <w:tcPr>
            <w:tcW w:w="1134" w:type="dxa"/>
          </w:tcPr>
          <w:p w14:paraId="224AB3C7" w14:textId="70E0AF27" w:rsidR="00FD67F7" w:rsidRPr="00FD67F7" w:rsidRDefault="00FD67F7" w:rsidP="00D70344">
            <w:pPr>
              <w:pStyle w:val="NormalWeb"/>
              <w:spacing w:after="150"/>
              <w:jc w:val="both"/>
              <w:rPr>
                <w:b/>
                <w:color w:val="000000"/>
              </w:rPr>
            </w:pPr>
            <w:r w:rsidRPr="00FD67F7">
              <w:rPr>
                <w:b/>
                <w:color w:val="000000"/>
              </w:rPr>
              <w:t>Withheld Number</w:t>
            </w:r>
          </w:p>
        </w:tc>
      </w:tr>
      <w:tr w:rsidR="00FD67F7" w14:paraId="32D808C2" w14:textId="77777777" w:rsidTr="00AD110C">
        <w:tc>
          <w:tcPr>
            <w:tcW w:w="6799" w:type="dxa"/>
          </w:tcPr>
          <w:p w14:paraId="6E3898E9" w14:textId="7AB7EE0C" w:rsidR="00FD67F7" w:rsidRDefault="00415458" w:rsidP="0031050C">
            <w:pPr>
              <w:pStyle w:val="NormalWeb"/>
              <w:spacing w:before="24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Subject to the confirmation of the High Court, the cancellation of up to €550 million standing to the credit of the Company's </w:t>
            </w:r>
            <w:r w:rsidR="008319C9">
              <w:rPr>
                <w:color w:val="000000"/>
              </w:rPr>
              <w:t xml:space="preserve">share premium account on the date immediately preceding its approval and the reserves resulting from such cancellation to be treated as profits available for distribution. </w:t>
            </w:r>
          </w:p>
        </w:tc>
        <w:tc>
          <w:tcPr>
            <w:tcW w:w="1418" w:type="dxa"/>
          </w:tcPr>
          <w:p w14:paraId="75891AD0" w14:textId="77777777" w:rsidR="00FD67F7" w:rsidRDefault="00FD67F7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</w:p>
          <w:p w14:paraId="326625C2" w14:textId="77777777" w:rsidR="00E1568C" w:rsidRDefault="00E1568C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</w:p>
          <w:p w14:paraId="0C4F113E" w14:textId="2A685F11" w:rsidR="00E1568C" w:rsidRDefault="00AD110C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1568C">
              <w:rPr>
                <w:color w:val="000000"/>
              </w:rPr>
              <w:t>96,434,576</w:t>
            </w:r>
          </w:p>
        </w:tc>
        <w:tc>
          <w:tcPr>
            <w:tcW w:w="1417" w:type="dxa"/>
          </w:tcPr>
          <w:p w14:paraId="66A29F9C" w14:textId="77777777" w:rsidR="00FD67F7" w:rsidRDefault="00FD67F7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</w:p>
          <w:p w14:paraId="5D10DE01" w14:textId="77777777" w:rsidR="00E1568C" w:rsidRDefault="00E1568C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</w:p>
          <w:p w14:paraId="50552EE5" w14:textId="6F950186" w:rsidR="00E1568C" w:rsidRDefault="00AD110C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568C">
              <w:rPr>
                <w:color w:val="000000"/>
              </w:rPr>
              <w:t>00</w:t>
            </w:r>
          </w:p>
        </w:tc>
        <w:tc>
          <w:tcPr>
            <w:tcW w:w="1560" w:type="dxa"/>
          </w:tcPr>
          <w:p w14:paraId="3DA4692C" w14:textId="77777777" w:rsidR="00FD67F7" w:rsidRDefault="00FD67F7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</w:p>
          <w:p w14:paraId="6F67CC64" w14:textId="77777777" w:rsidR="00E1568C" w:rsidRDefault="00E1568C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</w:p>
          <w:p w14:paraId="6EF4E9F2" w14:textId="610CA35D" w:rsidR="00E1568C" w:rsidRDefault="00D922E8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14:paraId="082E73E1" w14:textId="77777777" w:rsidR="00FD67F7" w:rsidRDefault="00FD67F7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</w:p>
          <w:p w14:paraId="21604F0D" w14:textId="77777777" w:rsidR="00E1568C" w:rsidRDefault="00E1568C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</w:p>
          <w:p w14:paraId="44BFD230" w14:textId="173A0F46" w:rsidR="00E1568C" w:rsidRDefault="00D922E8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E77664E" w14:textId="77777777" w:rsidR="00FD67F7" w:rsidRDefault="00FD67F7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</w:p>
          <w:p w14:paraId="3FE79F84" w14:textId="77777777" w:rsidR="00E1568C" w:rsidRDefault="00E1568C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</w:p>
          <w:p w14:paraId="0DEF5D39" w14:textId="3280DD9F" w:rsidR="00E1568C" w:rsidRDefault="00D922E8" w:rsidP="00D70344">
            <w:pPr>
              <w:pStyle w:val="NormalWeb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471E1174" w14:textId="77777777" w:rsidR="00D70344" w:rsidRPr="009A1F4E" w:rsidRDefault="00D70344" w:rsidP="00D70344">
      <w:pPr>
        <w:pStyle w:val="NormalWeb"/>
        <w:spacing w:after="150"/>
        <w:jc w:val="both"/>
        <w:rPr>
          <w:color w:val="000000"/>
        </w:rPr>
      </w:pPr>
    </w:p>
    <w:p w14:paraId="49D66862" w14:textId="77777777" w:rsidR="009A1F4E" w:rsidRPr="009A1F4E" w:rsidRDefault="009A1F4E" w:rsidP="009A1F4E">
      <w:pPr>
        <w:jc w:val="both"/>
        <w:rPr>
          <w:rFonts w:ascii="Calibri" w:eastAsia="Arial Unicode MS" w:hAnsi="Calibri" w:cs="Arial"/>
          <w:color w:val="363636"/>
          <w:szCs w:val="18"/>
          <w:lang w:eastAsia="en-IE"/>
        </w:rPr>
      </w:pPr>
      <w:r w:rsidRPr="009A1F4E">
        <w:rPr>
          <w:rFonts w:ascii="Calibri" w:eastAsia="Arial Unicode MS" w:hAnsi="Calibri" w:cs="Arial"/>
          <w:b/>
          <w:bCs/>
          <w:color w:val="363636"/>
          <w:sz w:val="16"/>
          <w:szCs w:val="16"/>
          <w:lang w:eastAsia="en-IE"/>
        </w:rPr>
        <w:t>Notes:</w:t>
      </w:r>
    </w:p>
    <w:p w14:paraId="416F4AEC" w14:textId="77777777" w:rsidR="009A1F4E" w:rsidRPr="009A1F4E" w:rsidRDefault="009A1F4E" w:rsidP="009A1F4E">
      <w:pPr>
        <w:jc w:val="both"/>
        <w:rPr>
          <w:rFonts w:ascii="Calibri" w:eastAsia="Arial Unicode MS" w:hAnsi="Calibri" w:cs="Arial"/>
          <w:color w:val="363636"/>
          <w:szCs w:val="18"/>
          <w:lang w:eastAsia="en-IE"/>
        </w:rPr>
      </w:pPr>
      <w:r w:rsidRPr="009A1F4E">
        <w:rPr>
          <w:rFonts w:ascii="Calibri" w:eastAsia="Arial Unicode MS" w:hAnsi="Calibri" w:cs="Arial"/>
          <w:b/>
          <w:bCs/>
          <w:color w:val="363636"/>
          <w:sz w:val="16"/>
          <w:szCs w:val="16"/>
          <w:lang w:eastAsia="en-IE"/>
        </w:rPr>
        <w:t> </w:t>
      </w:r>
    </w:p>
    <w:p w14:paraId="659A18F9" w14:textId="77777777" w:rsidR="009A1F4E" w:rsidRPr="009A1F4E" w:rsidRDefault="009A1F4E" w:rsidP="009A1F4E">
      <w:pPr>
        <w:ind w:left="360" w:hanging="360"/>
        <w:jc w:val="both"/>
        <w:rPr>
          <w:rFonts w:ascii="Calibri" w:eastAsia="Arial Unicode MS" w:hAnsi="Calibri" w:cs="Arial"/>
          <w:color w:val="363636"/>
          <w:szCs w:val="18"/>
          <w:lang w:eastAsia="en-IE"/>
        </w:rPr>
      </w:pPr>
      <w:r w:rsidRPr="009A1F4E">
        <w:rPr>
          <w:rFonts w:ascii="Calibri" w:eastAsia="Arial Unicode MS" w:hAnsi="Calibri" w:cs="Arial"/>
          <w:color w:val="363636"/>
          <w:sz w:val="16"/>
          <w:szCs w:val="16"/>
          <w:lang w:eastAsia="en-IE"/>
        </w:rPr>
        <w:t>1.     Percentages are expressed as a proportion of the total votes cast (which does not include votes withheld).</w:t>
      </w:r>
    </w:p>
    <w:p w14:paraId="63BCEF1B" w14:textId="77777777" w:rsidR="009A1F4E" w:rsidRPr="009A1F4E" w:rsidRDefault="009A1F4E" w:rsidP="009A1F4E">
      <w:pPr>
        <w:ind w:left="360" w:hanging="360"/>
        <w:jc w:val="both"/>
        <w:rPr>
          <w:rFonts w:ascii="Calibri" w:eastAsia="Arial Unicode MS" w:hAnsi="Calibri" w:cs="Arial"/>
          <w:color w:val="363636"/>
          <w:szCs w:val="18"/>
          <w:lang w:eastAsia="en-IE"/>
        </w:rPr>
      </w:pPr>
      <w:r w:rsidRPr="009A1F4E">
        <w:rPr>
          <w:rFonts w:ascii="Calibri" w:eastAsia="Arial Unicode MS" w:hAnsi="Calibri" w:cs="Arial"/>
          <w:color w:val="363636"/>
          <w:sz w:val="16"/>
          <w:szCs w:val="16"/>
          <w:lang w:eastAsia="en-IE"/>
        </w:rPr>
        <w:t>2.     A "vote withheld" is not a vote in law and is not counted in the calculation of the proportion of the votes "For" and "Against" the Resolution.</w:t>
      </w:r>
    </w:p>
    <w:p w14:paraId="622DD92A" w14:textId="77777777" w:rsidR="009A1F4E" w:rsidRPr="009A1F4E" w:rsidRDefault="009A1F4E" w:rsidP="009A1F4E">
      <w:pPr>
        <w:ind w:left="360" w:hanging="360"/>
        <w:jc w:val="both"/>
        <w:rPr>
          <w:rFonts w:ascii="Calibri" w:eastAsia="Arial Unicode MS" w:hAnsi="Calibri" w:cs="Arial"/>
          <w:color w:val="363636"/>
          <w:szCs w:val="18"/>
          <w:lang w:eastAsia="en-IE"/>
        </w:rPr>
      </w:pPr>
      <w:r w:rsidRPr="009A1F4E">
        <w:rPr>
          <w:rFonts w:ascii="Calibri" w:eastAsia="Arial Unicode MS" w:hAnsi="Calibri" w:cs="Arial"/>
          <w:color w:val="363636"/>
          <w:sz w:val="16"/>
          <w:szCs w:val="16"/>
          <w:lang w:eastAsia="en-IE"/>
        </w:rPr>
        <w:t>3.     Any proxy appointments which gave discretion to the Chairman have been included in the "For" totals.</w:t>
      </w:r>
    </w:p>
    <w:p w14:paraId="13F111DA" w14:textId="77777777" w:rsidR="009A1F4E" w:rsidRPr="009A1F4E" w:rsidRDefault="009A1F4E" w:rsidP="009A1F4E">
      <w:pPr>
        <w:jc w:val="both"/>
        <w:rPr>
          <w:rFonts w:ascii="Calibri" w:eastAsia="Arial Unicode MS" w:hAnsi="Calibri" w:cs="Arial"/>
          <w:color w:val="363636"/>
          <w:szCs w:val="18"/>
          <w:lang w:eastAsia="en-IE"/>
        </w:rPr>
      </w:pPr>
      <w:r w:rsidRPr="009A1F4E">
        <w:rPr>
          <w:rFonts w:ascii="Calibri" w:eastAsia="Arial Unicode MS" w:hAnsi="Calibri" w:cs="Arial"/>
          <w:color w:val="000000"/>
          <w:sz w:val="20"/>
          <w:szCs w:val="20"/>
          <w:lang w:eastAsia="en-IE"/>
        </w:rPr>
        <w:t> </w:t>
      </w:r>
      <w:bookmarkStart w:id="0" w:name="_GoBack"/>
      <w:bookmarkEnd w:id="0"/>
    </w:p>
    <w:sectPr w:rsidR="009A1F4E" w:rsidRPr="009A1F4E" w:rsidSect="00AD110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518BC" w14:textId="77777777" w:rsidR="001A3BEB" w:rsidRDefault="001A3BEB" w:rsidP="005D482B">
      <w:r>
        <w:separator/>
      </w:r>
    </w:p>
  </w:endnote>
  <w:endnote w:type="continuationSeparator" w:id="0">
    <w:p w14:paraId="16F0153E" w14:textId="77777777" w:rsidR="001A3BEB" w:rsidRDefault="001A3BEB" w:rsidP="005D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-Italic">
    <w:altName w:val="Times New Roman"/>
    <w:charset w:val="00"/>
    <w:family w:val="auto"/>
    <w:pitch w:val="variable"/>
    <w:sig w:usb0="00000001" w:usb1="1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6117D" w14:textId="77777777" w:rsidR="001A3BEB" w:rsidRDefault="001A3BEB" w:rsidP="005D482B">
      <w:r>
        <w:separator/>
      </w:r>
    </w:p>
  </w:footnote>
  <w:footnote w:type="continuationSeparator" w:id="0">
    <w:p w14:paraId="2651031C" w14:textId="77777777" w:rsidR="001A3BEB" w:rsidRDefault="001A3BEB" w:rsidP="005D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69FB" w14:textId="04386F26" w:rsidR="00D70344" w:rsidRPr="00D70344" w:rsidRDefault="00D70344" w:rsidP="00D70344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5EF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6EA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A63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AB4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C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18F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4B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BA8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409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4AA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77DAA"/>
    <w:multiLevelType w:val="hybridMultilevel"/>
    <w:tmpl w:val="5B484A0E"/>
    <w:lvl w:ilvl="0" w:tplc="A29A9F0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77"/>
    <w:rsid w:val="0007023F"/>
    <w:rsid w:val="000B318D"/>
    <w:rsid w:val="001539CB"/>
    <w:rsid w:val="001A1F0F"/>
    <w:rsid w:val="001A3BEB"/>
    <w:rsid w:val="001C346D"/>
    <w:rsid w:val="00203926"/>
    <w:rsid w:val="00230556"/>
    <w:rsid w:val="00265B71"/>
    <w:rsid w:val="002D76AA"/>
    <w:rsid w:val="0031050C"/>
    <w:rsid w:val="003207A4"/>
    <w:rsid w:val="003277D2"/>
    <w:rsid w:val="003606AF"/>
    <w:rsid w:val="003659CE"/>
    <w:rsid w:val="00383564"/>
    <w:rsid w:val="003D6C38"/>
    <w:rsid w:val="00406398"/>
    <w:rsid w:val="00415458"/>
    <w:rsid w:val="0046400A"/>
    <w:rsid w:val="0054684F"/>
    <w:rsid w:val="00556198"/>
    <w:rsid w:val="005C6EC5"/>
    <w:rsid w:val="005D482B"/>
    <w:rsid w:val="005E1D06"/>
    <w:rsid w:val="00611D80"/>
    <w:rsid w:val="00684E2A"/>
    <w:rsid w:val="006869FD"/>
    <w:rsid w:val="006F43FE"/>
    <w:rsid w:val="00714C68"/>
    <w:rsid w:val="00723A21"/>
    <w:rsid w:val="007426D2"/>
    <w:rsid w:val="00757A77"/>
    <w:rsid w:val="007601A4"/>
    <w:rsid w:val="00764591"/>
    <w:rsid w:val="00775F84"/>
    <w:rsid w:val="007902AF"/>
    <w:rsid w:val="0079731A"/>
    <w:rsid w:val="007C3EC3"/>
    <w:rsid w:val="007C613C"/>
    <w:rsid w:val="00810B5D"/>
    <w:rsid w:val="008319C9"/>
    <w:rsid w:val="008332E2"/>
    <w:rsid w:val="009443E7"/>
    <w:rsid w:val="009A1F4E"/>
    <w:rsid w:val="009A6273"/>
    <w:rsid w:val="009D6435"/>
    <w:rsid w:val="00A004A8"/>
    <w:rsid w:val="00A81CF5"/>
    <w:rsid w:val="00AA46B6"/>
    <w:rsid w:val="00AD0228"/>
    <w:rsid w:val="00AD110C"/>
    <w:rsid w:val="00B9736D"/>
    <w:rsid w:val="00C80EC5"/>
    <w:rsid w:val="00CE3D6B"/>
    <w:rsid w:val="00D074C1"/>
    <w:rsid w:val="00D70344"/>
    <w:rsid w:val="00D922E8"/>
    <w:rsid w:val="00E1568C"/>
    <w:rsid w:val="00E62831"/>
    <w:rsid w:val="00EA3FAE"/>
    <w:rsid w:val="00F7519E"/>
    <w:rsid w:val="00F77C2F"/>
    <w:rsid w:val="00FA6DB1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3150"/>
  <w15:docId w15:val="{DD4A5118-85A9-4A33-A133-B40E947D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6AF"/>
    <w:rPr>
      <w:rFonts w:ascii="Verdana" w:hAnsi="Verdana"/>
      <w:sz w:val="1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_Body Text"/>
    <w:basedOn w:val="Normal"/>
    <w:link w:val="BodyTextChar"/>
    <w:unhideWhenUsed/>
    <w:qFormat/>
    <w:rsid w:val="005C6EC5"/>
    <w:pPr>
      <w:spacing w:line="360" w:lineRule="auto"/>
    </w:pPr>
    <w:rPr>
      <w:rFonts w:cs="Arial"/>
      <w:sz w:val="16"/>
      <w:szCs w:val="18"/>
    </w:rPr>
  </w:style>
  <w:style w:type="character" w:customStyle="1" w:styleId="BodyTextChar">
    <w:name w:val="_Body Text Char"/>
    <w:link w:val="BodyText"/>
    <w:rsid w:val="005C6EC5"/>
    <w:rPr>
      <w:rFonts w:ascii="Verdana" w:hAnsi="Verdana" w:cs="Arial"/>
      <w:sz w:val="16"/>
      <w:szCs w:val="18"/>
      <w:lang w:eastAsia="en-GB"/>
    </w:rPr>
  </w:style>
  <w:style w:type="paragraph" w:customStyle="1" w:styleId="AEHeaderRow">
    <w:name w:val="_AE_Header_Row"/>
    <w:semiHidden/>
    <w:qFormat/>
    <w:rsid w:val="003606AF"/>
    <w:pPr>
      <w:ind w:left="57"/>
    </w:pPr>
    <w:rPr>
      <w:rFonts w:ascii="Verdana" w:hAnsi="Verdana"/>
      <w:b/>
      <w:color w:val="FFFFFF" w:themeColor="background1"/>
      <w:sz w:val="16"/>
      <w:szCs w:val="24"/>
      <w:lang w:val="en-US"/>
    </w:rPr>
  </w:style>
  <w:style w:type="paragraph" w:customStyle="1" w:styleId="Title">
    <w:name w:val="_Title"/>
    <w:basedOn w:val="Normal"/>
    <w:semiHidden/>
    <w:unhideWhenUsed/>
    <w:qFormat/>
    <w:rsid w:val="003606AF"/>
    <w:pPr>
      <w:ind w:left="74"/>
    </w:pPr>
    <w:rPr>
      <w:rFonts w:cs="Arial"/>
      <w:b/>
      <w:color w:val="3A5675" w:themeColor="accent1"/>
      <w:sz w:val="20"/>
      <w:szCs w:val="28"/>
    </w:rPr>
  </w:style>
  <w:style w:type="paragraph" w:customStyle="1" w:styleId="Bullets">
    <w:name w:val="_Bullets"/>
    <w:basedOn w:val="Normal"/>
    <w:next w:val="BodyText"/>
    <w:link w:val="BulletsChar"/>
    <w:unhideWhenUsed/>
    <w:qFormat/>
    <w:rsid w:val="005C6EC5"/>
    <w:pPr>
      <w:numPr>
        <w:numId w:val="7"/>
      </w:numPr>
      <w:spacing w:line="360" w:lineRule="auto"/>
      <w:ind w:right="238"/>
    </w:pPr>
    <w:rPr>
      <w:rFonts w:eastAsia="Calibri" w:cs="Arial"/>
      <w:sz w:val="16"/>
      <w:szCs w:val="18"/>
      <w:lang w:eastAsia="en-US"/>
    </w:rPr>
  </w:style>
  <w:style w:type="character" w:customStyle="1" w:styleId="BulletsChar">
    <w:name w:val="_Bullets Char"/>
    <w:link w:val="Bullets"/>
    <w:rsid w:val="005C6EC5"/>
    <w:rPr>
      <w:rFonts w:ascii="Verdana" w:eastAsia="Calibri" w:hAnsi="Verdana" w:cs="Arial"/>
      <w:sz w:val="16"/>
      <w:szCs w:val="18"/>
    </w:rPr>
  </w:style>
  <w:style w:type="paragraph" w:customStyle="1" w:styleId="Heading1">
    <w:name w:val="_Heading 1"/>
    <w:basedOn w:val="Normal"/>
    <w:next w:val="BodyText"/>
    <w:link w:val="Heading1CharChar"/>
    <w:qFormat/>
    <w:rsid w:val="005C6EC5"/>
    <w:pPr>
      <w:spacing w:line="360" w:lineRule="auto"/>
    </w:pPr>
    <w:rPr>
      <w:rFonts w:cs="Arial"/>
      <w:b/>
      <w:bCs/>
      <w:color w:val="3A5675" w:themeColor="accent1"/>
      <w:sz w:val="20"/>
      <w:szCs w:val="30"/>
    </w:rPr>
  </w:style>
  <w:style w:type="character" w:customStyle="1" w:styleId="Heading1CharChar">
    <w:name w:val="_Heading 1 Char Char"/>
    <w:link w:val="Heading1"/>
    <w:rsid w:val="005C6EC5"/>
    <w:rPr>
      <w:rFonts w:ascii="Verdana" w:hAnsi="Verdana" w:cs="Arial"/>
      <w:b/>
      <w:bCs/>
      <w:color w:val="3A5675" w:themeColor="accent1"/>
      <w:szCs w:val="30"/>
      <w:lang w:eastAsia="en-GB"/>
    </w:rPr>
  </w:style>
  <w:style w:type="paragraph" w:styleId="BodyText0">
    <w:name w:val="Body Text"/>
    <w:basedOn w:val="Normal"/>
    <w:link w:val="BodyTextChar0"/>
    <w:rsid w:val="003606AF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3606AF"/>
    <w:rPr>
      <w:rFonts w:ascii="Verdana" w:hAnsi="Verdana"/>
      <w:sz w:val="18"/>
      <w:szCs w:val="24"/>
      <w:lang w:eastAsia="en-GB"/>
    </w:rPr>
  </w:style>
  <w:style w:type="paragraph" w:customStyle="1" w:styleId="Heading2">
    <w:name w:val="_Heading 2"/>
    <w:basedOn w:val="Normal"/>
    <w:next w:val="BodyText"/>
    <w:link w:val="Heading2Char"/>
    <w:qFormat/>
    <w:rsid w:val="003606AF"/>
    <w:pPr>
      <w:spacing w:line="360" w:lineRule="auto"/>
    </w:pPr>
    <w:rPr>
      <w:color w:val="3A5675" w:themeColor="accent1"/>
    </w:rPr>
  </w:style>
  <w:style w:type="character" w:customStyle="1" w:styleId="Heading2Char">
    <w:name w:val="_Heading 2 Char"/>
    <w:basedOn w:val="DefaultParagraphFont"/>
    <w:link w:val="Heading2"/>
    <w:rsid w:val="003606AF"/>
    <w:rPr>
      <w:rFonts w:ascii="Verdana" w:hAnsi="Verdana"/>
      <w:color w:val="3A5675" w:themeColor="accent1"/>
      <w:sz w:val="18"/>
      <w:szCs w:val="24"/>
      <w:lang w:eastAsia="en-GB"/>
    </w:rPr>
  </w:style>
  <w:style w:type="paragraph" w:customStyle="1" w:styleId="Heading3">
    <w:name w:val="_Heading 3"/>
    <w:basedOn w:val="Heading2"/>
    <w:qFormat/>
    <w:rsid w:val="003606AF"/>
    <w:rPr>
      <w:sz w:val="22"/>
      <w:szCs w:val="22"/>
    </w:rPr>
  </w:style>
  <w:style w:type="paragraph" w:customStyle="1" w:styleId="Heading4">
    <w:name w:val="_Heading 4"/>
    <w:basedOn w:val="Normal"/>
    <w:qFormat/>
    <w:rsid w:val="003606AF"/>
    <w:pPr>
      <w:spacing w:line="360" w:lineRule="auto"/>
    </w:pPr>
    <w:rPr>
      <w:rFonts w:ascii="Arial" w:hAnsi="Arial" w:cs="Arial"/>
      <w:b/>
      <w:bCs/>
      <w:smallCaps/>
      <w:color w:val="000055"/>
      <w:szCs w:val="18"/>
    </w:rPr>
  </w:style>
  <w:style w:type="paragraph" w:customStyle="1" w:styleId="AEHeaderCol1">
    <w:name w:val="_AE_Header_Col_1"/>
    <w:basedOn w:val="AETableRows"/>
    <w:semiHidden/>
    <w:qFormat/>
    <w:rsid w:val="003606AF"/>
    <w:pPr>
      <w:jc w:val="left"/>
    </w:pPr>
    <w:rPr>
      <w:bCs/>
    </w:rPr>
  </w:style>
  <w:style w:type="paragraph" w:customStyle="1" w:styleId="AESourceLine">
    <w:name w:val="_AE_SourceLine"/>
    <w:basedOn w:val="Normal"/>
    <w:semiHidden/>
    <w:qFormat/>
    <w:rsid w:val="003606AF"/>
    <w:pPr>
      <w:spacing w:before="110"/>
    </w:pPr>
    <w:rPr>
      <w:rFonts w:cs="Myriad-Italic"/>
      <w:iCs/>
      <w:color w:val="000000"/>
      <w:sz w:val="12"/>
      <w:szCs w:val="12"/>
      <w:lang w:eastAsia="ru-RU"/>
    </w:rPr>
  </w:style>
  <w:style w:type="paragraph" w:customStyle="1" w:styleId="AETableRows">
    <w:name w:val="_AE_TableRows"/>
    <w:basedOn w:val="Normal"/>
    <w:semiHidden/>
    <w:qFormat/>
    <w:rsid w:val="003606AF"/>
    <w:pPr>
      <w:jc w:val="right"/>
    </w:pPr>
    <w:rPr>
      <w:sz w:val="14"/>
      <w:lang w:eastAsia="en-US"/>
    </w:rPr>
  </w:style>
  <w:style w:type="paragraph" w:customStyle="1" w:styleId="AETitleLine1">
    <w:name w:val="_AE_TitleLine_1"/>
    <w:basedOn w:val="Normal"/>
    <w:semiHidden/>
    <w:qFormat/>
    <w:rsid w:val="003606AF"/>
    <w:pPr>
      <w:jc w:val="right"/>
    </w:pPr>
    <w:rPr>
      <w:b/>
      <w:sz w:val="14"/>
      <w:lang w:eastAsia="en-US"/>
    </w:rPr>
  </w:style>
  <w:style w:type="paragraph" w:styleId="BalloonText">
    <w:name w:val="Balloon Text"/>
    <w:basedOn w:val="Normal"/>
    <w:link w:val="BalloonTextChar"/>
    <w:rsid w:val="00360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06A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rsid w:val="003606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023F"/>
    <w:rPr>
      <w:rFonts w:ascii="Verdana" w:hAnsi="Verdana"/>
      <w:sz w:val="18"/>
      <w:szCs w:val="24"/>
      <w:lang w:eastAsia="en-GB"/>
    </w:rPr>
  </w:style>
  <w:style w:type="paragraph" w:styleId="Header">
    <w:name w:val="header"/>
    <w:basedOn w:val="Normal"/>
    <w:link w:val="HeaderChar"/>
    <w:rsid w:val="003606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023F"/>
    <w:rPr>
      <w:rFonts w:ascii="Verdana" w:hAnsi="Verdana"/>
      <w:sz w:val="18"/>
      <w:szCs w:val="24"/>
      <w:lang w:eastAsia="en-GB"/>
    </w:rPr>
  </w:style>
  <w:style w:type="paragraph" w:customStyle="1" w:styleId="PageHeadings">
    <w:name w:val="Page Headings"/>
    <w:basedOn w:val="Normal"/>
    <w:semiHidden/>
    <w:rsid w:val="003606AF"/>
    <w:pPr>
      <w:spacing w:line="360" w:lineRule="auto"/>
    </w:pPr>
    <w:rPr>
      <w:rFonts w:ascii="Arial" w:hAnsi="Arial"/>
      <w:b/>
      <w:bCs/>
      <w:smallCaps/>
      <w:color w:val="000055"/>
      <w:sz w:val="30"/>
      <w:szCs w:val="20"/>
    </w:rPr>
  </w:style>
  <w:style w:type="table" w:styleId="TableGrid">
    <w:name w:val="Table Grid"/>
    <w:basedOn w:val="TableNormal"/>
    <w:rsid w:val="003606A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7A77"/>
    <w:rPr>
      <w:rFonts w:ascii="Calibri" w:hAnsi="Calibri" w:cs="Calibri"/>
      <w:sz w:val="22"/>
      <w:szCs w:val="22"/>
      <w:lang w:eastAsia="en-IE"/>
    </w:rPr>
  </w:style>
  <w:style w:type="paragraph" w:customStyle="1" w:styleId="BodyA">
    <w:name w:val="Body A"/>
    <w:rsid w:val="008332E2"/>
    <w:pPr>
      <w:pBdr>
        <w:top w:val="nil"/>
        <w:left w:val="nil"/>
        <w:bottom w:val="nil"/>
        <w:right w:val="nil"/>
        <w:between w:val="nil"/>
        <w:bar w:val="nil"/>
      </w:pBdr>
      <w:spacing w:before="240" w:line="264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cv">
    <w:name w:val="cv"/>
    <w:basedOn w:val="Normal"/>
    <w:rsid w:val="007C613C"/>
    <w:pPr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character" w:customStyle="1" w:styleId="dq">
    <w:name w:val="dq"/>
    <w:basedOn w:val="DefaultParagraphFont"/>
    <w:rsid w:val="007C613C"/>
  </w:style>
  <w:style w:type="character" w:customStyle="1" w:styleId="dr">
    <w:name w:val="dr"/>
    <w:basedOn w:val="DefaultParagraphFont"/>
    <w:rsid w:val="007C613C"/>
  </w:style>
  <w:style w:type="character" w:customStyle="1" w:styleId="ds">
    <w:name w:val="ds"/>
    <w:basedOn w:val="DefaultParagraphFont"/>
    <w:rsid w:val="007C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GBS 2012 Colours">
  <a:themeElements>
    <a:clrScheme name="GBS New Brand">
      <a:dk1>
        <a:srgbClr val="3A5675"/>
      </a:dk1>
      <a:lt1>
        <a:srgbClr val="FFFFFF"/>
      </a:lt1>
      <a:dk2>
        <a:srgbClr val="3A5675"/>
      </a:dk2>
      <a:lt2>
        <a:srgbClr val="FFFFFF"/>
      </a:lt2>
      <a:accent1>
        <a:srgbClr val="3A5675"/>
      </a:accent1>
      <a:accent2>
        <a:srgbClr val="ADADA5"/>
      </a:accent2>
      <a:accent3>
        <a:srgbClr val="4191C4"/>
      </a:accent3>
      <a:accent4>
        <a:srgbClr val="333333"/>
      </a:accent4>
      <a:accent5>
        <a:srgbClr val="5A7464"/>
      </a:accent5>
      <a:accent6>
        <a:srgbClr val="622066"/>
      </a:accent6>
      <a:hlink>
        <a:srgbClr val="3A5675"/>
      </a:hlink>
      <a:folHlink>
        <a:srgbClr val="007589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BE7DE6923094B87F99147382FBEDA" ma:contentTypeVersion="9" ma:contentTypeDescription="Create a new document." ma:contentTypeScope="" ma:versionID="879b090b9139697bdbb894155a244482">
  <xsd:schema xmlns:xsd="http://www.w3.org/2001/XMLSchema" xmlns:xs="http://www.w3.org/2001/XMLSchema" xmlns:p="http://schemas.microsoft.com/office/2006/metadata/properties" xmlns:ns2="e4762075-91c3-4e4b-a9e8-114bc4037e1f" xmlns:ns3="6f8c783b-a201-4fb3-b234-e71bf60b1362" targetNamespace="http://schemas.microsoft.com/office/2006/metadata/properties" ma:root="true" ma:fieldsID="81e5424eb5eb25a5f16ff8fa077271ee" ns2:_="" ns3:_="">
    <xsd:import namespace="e4762075-91c3-4e4b-a9e8-114bc4037e1f"/>
    <xsd:import namespace="6f8c783b-a201-4fb3-b234-e71bf60b13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2075-91c3-4e4b-a9e8-114bc4037e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c783b-a201-4fb3-b234-e71bf60b1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E871-EAB2-4C49-9FFF-F4A8B6803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DF43F-465E-43FA-8CD1-D52F55721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62075-91c3-4e4b-a9e8-114bc4037e1f"/>
    <ds:schemaRef ds:uri="6f8c783b-a201-4fb3-b234-e71bf60b1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3C134-EEE4-4F77-94D1-C4CE889D7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BEF35E-AF10-4A72-B334-FC17FB36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Grimley</dc:creator>
  <cp:keywords/>
  <dc:description/>
  <cp:lastModifiedBy>Tara Grimley</cp:lastModifiedBy>
  <cp:revision>3</cp:revision>
  <dcterms:created xsi:type="dcterms:W3CDTF">2019-02-26T20:53:00Z</dcterms:created>
  <dcterms:modified xsi:type="dcterms:W3CDTF">2019-02-26T20:59:00Z</dcterms:modified>
</cp:coreProperties>
</file>